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BDCF5" w14:textId="244C7E92" w:rsidR="0059144C" w:rsidRPr="00F107E6" w:rsidRDefault="001150FE" w:rsidP="00F107E6">
      <w:pPr>
        <w:shd w:val="clear" w:color="auto" w:fill="D9D9D9" w:themeFill="background1" w:themeFillShade="D9"/>
        <w:spacing w:after="0" w:line="240" w:lineRule="auto"/>
        <w:contextualSpacing/>
        <w:jc w:val="both"/>
        <w:rPr>
          <w:rFonts w:asciiTheme="minorHAnsi" w:hAnsiTheme="minorHAnsi" w:cstheme="minorHAnsi"/>
          <w:b/>
          <w:sz w:val="28"/>
          <w:szCs w:val="28"/>
          <w:lang w:eastAsia="es-ES"/>
        </w:rPr>
      </w:pPr>
      <w:r w:rsidRPr="00F107E6">
        <w:rPr>
          <w:rFonts w:asciiTheme="minorHAnsi" w:hAnsiTheme="minorHAnsi" w:cstheme="minorHAnsi"/>
          <w:b/>
          <w:sz w:val="28"/>
          <w:szCs w:val="28"/>
          <w:lang w:eastAsia="es-ES"/>
        </w:rPr>
        <w:t>ANN</w:t>
      </w:r>
      <w:bookmarkStart w:id="0" w:name="_GoBack"/>
      <w:bookmarkEnd w:id="0"/>
      <w:r w:rsidRPr="00F107E6">
        <w:rPr>
          <w:rFonts w:asciiTheme="minorHAnsi" w:hAnsiTheme="minorHAnsi" w:cstheme="minorHAnsi"/>
          <w:b/>
          <w:sz w:val="28"/>
          <w:szCs w:val="28"/>
          <w:lang w:eastAsia="es-ES"/>
        </w:rPr>
        <w:t xml:space="preserve">EX </w:t>
      </w:r>
      <w:r w:rsidR="008D5097" w:rsidRPr="00F107E6">
        <w:rPr>
          <w:rFonts w:asciiTheme="minorHAnsi" w:hAnsiTheme="minorHAnsi" w:cstheme="minorHAnsi"/>
          <w:b/>
          <w:sz w:val="28"/>
          <w:szCs w:val="28"/>
          <w:lang w:eastAsia="es-ES"/>
        </w:rPr>
        <w:t>2</w:t>
      </w:r>
      <w:r w:rsidR="00547FE9" w:rsidRPr="00F107E6">
        <w:rPr>
          <w:rFonts w:asciiTheme="minorHAnsi" w:hAnsiTheme="minorHAnsi" w:cstheme="minorHAnsi"/>
          <w:b/>
          <w:sz w:val="28"/>
          <w:szCs w:val="28"/>
          <w:lang w:eastAsia="es-ES"/>
        </w:rPr>
        <w:t>3</w:t>
      </w:r>
      <w:r w:rsidR="00F107E6">
        <w:rPr>
          <w:rFonts w:asciiTheme="minorHAnsi" w:hAnsiTheme="minorHAnsi" w:cstheme="minorHAnsi"/>
          <w:b/>
          <w:sz w:val="28"/>
          <w:szCs w:val="28"/>
          <w:lang w:eastAsia="es-ES"/>
        </w:rPr>
        <w:t xml:space="preserve">. </w:t>
      </w:r>
      <w:r w:rsidR="008D5097" w:rsidRPr="00F107E6">
        <w:rPr>
          <w:rFonts w:asciiTheme="minorHAnsi" w:hAnsiTheme="minorHAnsi" w:cstheme="minorHAnsi"/>
          <w:b/>
          <w:sz w:val="28"/>
          <w:szCs w:val="28"/>
          <w:lang w:eastAsia="es-ES"/>
        </w:rPr>
        <w:t xml:space="preserve">Condicions objectives per a l’adjudicació de la contractació basada sense nova licitació </w:t>
      </w:r>
    </w:p>
    <w:p w14:paraId="2DEC6FEC" w14:textId="24FF85E9" w:rsidR="00C76C26" w:rsidRDefault="00C76C26">
      <w:pPr>
        <w:rPr>
          <w:rFonts w:eastAsiaTheme="minorHAnsi" w:cs="Arial"/>
          <w:b/>
          <w:bCs/>
          <w:lang w:eastAsia="en-US"/>
        </w:rPr>
      </w:pPr>
    </w:p>
    <w:p w14:paraId="0E71F918" w14:textId="0F4EAC94" w:rsidR="00AD4AC8" w:rsidRDefault="00AD4AC8" w:rsidP="0059144C">
      <w:pPr>
        <w:spacing w:after="0"/>
        <w:contextualSpacing/>
        <w:jc w:val="both"/>
        <w:rPr>
          <w:rFonts w:eastAsiaTheme="minorHAnsi" w:cs="Arial"/>
          <w:b/>
          <w:bCs/>
          <w:sz w:val="24"/>
          <w:lang w:eastAsia="en-US"/>
        </w:rPr>
      </w:pPr>
      <w:r>
        <w:rPr>
          <w:rFonts w:eastAsiaTheme="minorHAnsi" w:cs="Arial"/>
          <w:b/>
          <w:bCs/>
          <w:sz w:val="24"/>
          <w:lang w:eastAsia="en-US"/>
        </w:rPr>
        <w:t>Les condicions objectives per a determinar l</w:t>
      </w:r>
      <w:r w:rsidR="00BB6B50">
        <w:rPr>
          <w:rFonts w:eastAsiaTheme="minorHAnsi" w:cs="Arial"/>
          <w:b/>
          <w:bCs/>
          <w:sz w:val="24"/>
          <w:lang w:eastAsia="en-US"/>
        </w:rPr>
        <w:t>a tria dels candidats</w:t>
      </w:r>
      <w:r>
        <w:rPr>
          <w:rFonts w:eastAsiaTheme="minorHAnsi" w:cs="Arial"/>
          <w:b/>
          <w:bCs/>
          <w:sz w:val="24"/>
          <w:lang w:eastAsia="en-US"/>
        </w:rPr>
        <w:t xml:space="preserve"> són:</w:t>
      </w:r>
    </w:p>
    <w:p w14:paraId="456DBAC0" w14:textId="77777777" w:rsidR="00AD4AC8" w:rsidRDefault="00AD4AC8" w:rsidP="0059144C">
      <w:pPr>
        <w:spacing w:after="0"/>
        <w:contextualSpacing/>
        <w:jc w:val="both"/>
        <w:rPr>
          <w:rFonts w:eastAsiaTheme="minorHAnsi" w:cs="Arial"/>
          <w:b/>
          <w:bCs/>
          <w:sz w:val="24"/>
          <w:lang w:eastAsia="en-US"/>
        </w:rPr>
      </w:pPr>
    </w:p>
    <w:p w14:paraId="02336D89" w14:textId="7A320377" w:rsidR="00C76C26" w:rsidRDefault="00FB3C4D" w:rsidP="00C76C26">
      <w:pPr>
        <w:pStyle w:val="Pargrafdellista"/>
        <w:numPr>
          <w:ilvl w:val="0"/>
          <w:numId w:val="6"/>
        </w:numPr>
        <w:spacing w:after="0"/>
        <w:jc w:val="both"/>
        <w:rPr>
          <w:rFonts w:cs="Arial"/>
        </w:rPr>
      </w:pPr>
      <w:r w:rsidRPr="00FB3C4D">
        <w:rPr>
          <w:rFonts w:cs="Arial"/>
        </w:rPr>
        <w:t xml:space="preserve">Quan es produeixi la necessitat de seleccionar un </w:t>
      </w:r>
      <w:r>
        <w:rPr>
          <w:rFonts w:cs="Arial"/>
        </w:rPr>
        <w:t>metge especialista,</w:t>
      </w:r>
      <w:r w:rsidRPr="00FB3C4D">
        <w:rPr>
          <w:rFonts w:cs="Arial"/>
        </w:rPr>
        <w:t xml:space="preserve"> l’òrgan de contractació </w:t>
      </w:r>
      <w:r w:rsidR="002D5E5A">
        <w:rPr>
          <w:rFonts w:cs="Arial"/>
        </w:rPr>
        <w:t xml:space="preserve">ho </w:t>
      </w:r>
      <w:r w:rsidR="008A05E7">
        <w:rPr>
          <w:rFonts w:cs="Arial"/>
        </w:rPr>
        <w:t>sol·licitarà</w:t>
      </w:r>
      <w:r w:rsidRPr="00FB3C4D">
        <w:rPr>
          <w:rFonts w:cs="Arial"/>
        </w:rPr>
        <w:t xml:space="preserve"> </w:t>
      </w:r>
      <w:r w:rsidR="00E52C9C">
        <w:rPr>
          <w:rFonts w:cs="Arial"/>
        </w:rPr>
        <w:t xml:space="preserve">a totes </w:t>
      </w:r>
      <w:r w:rsidRPr="00FB3C4D">
        <w:rPr>
          <w:rFonts w:cs="Arial"/>
        </w:rPr>
        <w:t xml:space="preserve">les empreses adjudicatàries. </w:t>
      </w:r>
    </w:p>
    <w:p w14:paraId="6E5F2BEA" w14:textId="77777777" w:rsidR="006A7BF9" w:rsidRDefault="006A7BF9" w:rsidP="006A7BF9">
      <w:pPr>
        <w:pStyle w:val="Pargrafdellista"/>
        <w:spacing w:after="0"/>
        <w:jc w:val="both"/>
        <w:rPr>
          <w:rFonts w:cs="Arial"/>
        </w:rPr>
      </w:pPr>
    </w:p>
    <w:p w14:paraId="26E8D925" w14:textId="1F4DB920" w:rsidR="00336F4B" w:rsidRDefault="00FB3C4D" w:rsidP="00C76C26">
      <w:pPr>
        <w:pStyle w:val="Pargrafdellista"/>
        <w:numPr>
          <w:ilvl w:val="0"/>
          <w:numId w:val="6"/>
        </w:numPr>
        <w:spacing w:after="0"/>
        <w:jc w:val="both"/>
        <w:rPr>
          <w:rFonts w:cs="Arial"/>
        </w:rPr>
      </w:pPr>
      <w:r>
        <w:rPr>
          <w:rFonts w:cs="Arial"/>
        </w:rPr>
        <w:t xml:space="preserve">En el cas que </w:t>
      </w:r>
      <w:r w:rsidR="00A10E74">
        <w:rPr>
          <w:rFonts w:cs="Arial"/>
        </w:rPr>
        <w:t xml:space="preserve">les empreses adjudicatàries </w:t>
      </w:r>
      <w:r w:rsidR="00A10877">
        <w:rPr>
          <w:rFonts w:cs="Arial"/>
        </w:rPr>
        <w:t>proporcionin</w:t>
      </w:r>
      <w:r w:rsidR="00A10E74">
        <w:rPr>
          <w:rFonts w:cs="Arial"/>
        </w:rPr>
        <w:t xml:space="preserve"> un nombre </w:t>
      </w:r>
      <w:r w:rsidR="00BB6B50">
        <w:rPr>
          <w:rFonts w:cs="Arial"/>
        </w:rPr>
        <w:t>de candidats</w:t>
      </w:r>
      <w:r w:rsidR="00A10E74">
        <w:rPr>
          <w:rFonts w:cs="Arial"/>
        </w:rPr>
        <w:t xml:space="preserve"> </w:t>
      </w:r>
      <w:r w:rsidR="007234C2">
        <w:rPr>
          <w:rFonts w:cs="Arial"/>
        </w:rPr>
        <w:t xml:space="preserve">vàlids </w:t>
      </w:r>
      <w:r w:rsidR="00A10E74">
        <w:rPr>
          <w:rFonts w:cs="Arial"/>
        </w:rPr>
        <w:t xml:space="preserve">superior </w:t>
      </w:r>
      <w:r w:rsidR="006A7BF9">
        <w:rPr>
          <w:rFonts w:cs="Arial"/>
        </w:rPr>
        <w:t xml:space="preserve">al que necessita </w:t>
      </w:r>
      <w:r w:rsidR="00A10E74">
        <w:rPr>
          <w:rFonts w:cs="Arial"/>
        </w:rPr>
        <w:t xml:space="preserve">l’òrgan de contractació, </w:t>
      </w:r>
      <w:r w:rsidR="00336F4B">
        <w:rPr>
          <w:rFonts w:cs="Arial"/>
        </w:rPr>
        <w:t>la tria es farà de la següent manera:</w:t>
      </w:r>
    </w:p>
    <w:p w14:paraId="4DDF1F15" w14:textId="77777777" w:rsidR="00336F4B" w:rsidRPr="00336F4B" w:rsidRDefault="00336F4B" w:rsidP="00336F4B">
      <w:pPr>
        <w:pStyle w:val="Pargrafdellista"/>
        <w:rPr>
          <w:rFonts w:cs="Arial"/>
        </w:rPr>
      </w:pPr>
    </w:p>
    <w:p w14:paraId="2FE95318" w14:textId="0CCFF12C" w:rsidR="00336F4B" w:rsidRDefault="00336F4B" w:rsidP="00336F4B">
      <w:pPr>
        <w:pStyle w:val="Pargrafdellista"/>
        <w:numPr>
          <w:ilvl w:val="1"/>
          <w:numId w:val="6"/>
        </w:numPr>
        <w:spacing w:after="0"/>
        <w:jc w:val="both"/>
        <w:rPr>
          <w:rFonts w:cs="Arial"/>
        </w:rPr>
      </w:pPr>
      <w:r>
        <w:rPr>
          <w:rFonts w:cs="Arial"/>
        </w:rPr>
        <w:t>Es triarà el que la Direcció del centre determini com a millor candidat.</w:t>
      </w:r>
    </w:p>
    <w:p w14:paraId="31CA34A9" w14:textId="15A57A17" w:rsidR="00336F4B" w:rsidRDefault="00A10877" w:rsidP="00336F4B">
      <w:pPr>
        <w:pStyle w:val="Pargrafdellista"/>
        <w:numPr>
          <w:ilvl w:val="1"/>
          <w:numId w:val="6"/>
        </w:numPr>
        <w:spacing w:after="0"/>
        <w:jc w:val="both"/>
        <w:rPr>
          <w:rFonts w:cs="Arial"/>
        </w:rPr>
      </w:pPr>
      <w:r>
        <w:rPr>
          <w:rFonts w:cs="Arial"/>
        </w:rPr>
        <w:t>En cas d’empat es triarà al candidat proporcionat per l’empresa que hagi obtingut major puntuació en la valoració de les ofertes presentades.</w:t>
      </w:r>
    </w:p>
    <w:p w14:paraId="4D0441BB" w14:textId="77777777" w:rsidR="00A10877" w:rsidRDefault="00A10877" w:rsidP="00A10877">
      <w:pPr>
        <w:pStyle w:val="Pargrafdellista"/>
        <w:spacing w:after="0"/>
        <w:ind w:left="1440"/>
        <w:jc w:val="both"/>
        <w:rPr>
          <w:rFonts w:cs="Arial"/>
        </w:rPr>
      </w:pPr>
    </w:p>
    <w:p w14:paraId="04D1E034" w14:textId="77777777" w:rsidR="00A10877" w:rsidRDefault="00A10877" w:rsidP="00A10877">
      <w:pPr>
        <w:spacing w:after="0"/>
        <w:contextualSpacing/>
        <w:jc w:val="both"/>
        <w:rPr>
          <w:rFonts w:eastAsiaTheme="minorHAnsi" w:cs="Arial"/>
          <w:b/>
          <w:bCs/>
          <w:sz w:val="24"/>
          <w:lang w:eastAsia="en-US"/>
        </w:rPr>
      </w:pPr>
      <w:r>
        <w:rPr>
          <w:rFonts w:eastAsiaTheme="minorHAnsi" w:cs="Arial"/>
          <w:b/>
          <w:bCs/>
          <w:sz w:val="24"/>
          <w:lang w:eastAsia="en-US"/>
        </w:rPr>
        <w:t>Les condicions objectives per a determinar l’adjudicació són:</w:t>
      </w:r>
    </w:p>
    <w:p w14:paraId="68D42023" w14:textId="77777777" w:rsidR="00AD4AC8" w:rsidRDefault="00AD4AC8" w:rsidP="00AD4AC8">
      <w:pPr>
        <w:pStyle w:val="Ttol2"/>
        <w:rPr>
          <w:sz w:val="22"/>
          <w:szCs w:val="22"/>
        </w:rPr>
      </w:pPr>
      <w:bookmarkStart w:id="1" w:name="_Toc140737406"/>
      <w:bookmarkStart w:id="2" w:name="_Toc160184507"/>
    </w:p>
    <w:p w14:paraId="2CE1CCF0" w14:textId="77777777" w:rsidR="00AD4AC8" w:rsidRPr="00786CC9" w:rsidRDefault="00AD4AC8" w:rsidP="00AD4AC8">
      <w:pPr>
        <w:jc w:val="both"/>
      </w:pPr>
      <w:r w:rsidRPr="00AD4AC8">
        <w:rPr>
          <w:b/>
        </w:rPr>
        <w:t>Empats</w:t>
      </w:r>
      <w:bookmarkEnd w:id="1"/>
      <w:bookmarkEnd w:id="2"/>
      <w:r w:rsidRPr="00AD4AC8">
        <w:rPr>
          <w:b/>
        </w:rPr>
        <w:t>:</w:t>
      </w:r>
      <w:r>
        <w:t xml:space="preserve"> </w:t>
      </w:r>
      <w:r w:rsidRPr="00786CC9">
        <w:t>En casos d’empat en les puntuacions obtingudes per les ofertes de les empreses licitadores, tindrà preferència en l’adjudicació del contracte:</w:t>
      </w:r>
    </w:p>
    <w:p w14:paraId="6D7FCE14" w14:textId="77777777" w:rsidR="00AD4AC8" w:rsidRPr="00786CC9" w:rsidRDefault="00AD4AC8" w:rsidP="00AD4AC8">
      <w:pPr>
        <w:numPr>
          <w:ilvl w:val="0"/>
          <w:numId w:val="4"/>
        </w:numPr>
        <w:autoSpaceDE w:val="0"/>
        <w:autoSpaceDN w:val="0"/>
        <w:adjustRightInd w:val="0"/>
        <w:spacing w:line="240" w:lineRule="auto"/>
        <w:ind w:left="360"/>
        <w:jc w:val="both"/>
        <w:rPr>
          <w:rFonts w:cs="Arial"/>
        </w:rPr>
      </w:pPr>
      <w:r w:rsidRPr="00786CC9">
        <w:rPr>
          <w:rFonts w:cs="Arial"/>
        </w:rPr>
        <w:t>en primer lloc: la proposició presentada per aquelles empreses que, al venciment del termini de presentació d’ofertes, tinguin en la seva plantilla un percentatge de treballadors amb discapacitat superior al que els imposi la normativa. Si diverses empreses licitadores de les que hagin empatat quant a la proposició més avantatjosa acrediten tenir relació laboral amb persones amb discapacitat en un percentatge superior al que els imposi la normativa, tindrà preferència en l’adjudicació del contracte l’empresa licitadora que disposi del percentatge més alt de treballadors fixos amb discapacitat en la seva plantilla. Aquest supòsit només aplicarà si les empreses empatades estan obligades per normativa a disposar en la seva plantilla de treballadors amb discapacitat.</w:t>
      </w:r>
    </w:p>
    <w:p w14:paraId="5B11CCA0" w14:textId="77777777" w:rsidR="00AD4AC8" w:rsidRDefault="00AD4AC8" w:rsidP="00AD4AC8">
      <w:pPr>
        <w:numPr>
          <w:ilvl w:val="0"/>
          <w:numId w:val="4"/>
        </w:numPr>
        <w:autoSpaceDE w:val="0"/>
        <w:autoSpaceDN w:val="0"/>
        <w:adjustRightInd w:val="0"/>
        <w:spacing w:after="0" w:line="240" w:lineRule="auto"/>
        <w:ind w:left="360"/>
        <w:jc w:val="both"/>
        <w:rPr>
          <w:rFonts w:cs="Arial"/>
        </w:rPr>
      </w:pPr>
      <w:r w:rsidRPr="00786CC9">
        <w:rPr>
          <w:rFonts w:cs="Arial"/>
        </w:rPr>
        <w:t>en segon lloc (en defecte d’aplicació del punt anterior o si l’empat persisteix):  la proposició presentada per les empreses d’inserció que regula la Llei 44/2007, de 13 de desembre, per a la regulació del règim de les empreses d’inserció, que compleixin els requisits que estableix aquesta normativa per tenir dita consideració.</w:t>
      </w:r>
    </w:p>
    <w:p w14:paraId="54E3FD9A" w14:textId="77777777" w:rsidR="00AD4AC8" w:rsidRPr="00786CC9" w:rsidRDefault="00AD4AC8" w:rsidP="00AD4AC8">
      <w:pPr>
        <w:autoSpaceDE w:val="0"/>
        <w:autoSpaceDN w:val="0"/>
        <w:adjustRightInd w:val="0"/>
        <w:spacing w:after="0" w:line="240" w:lineRule="auto"/>
        <w:ind w:left="360"/>
        <w:jc w:val="both"/>
        <w:rPr>
          <w:rFonts w:cs="Arial"/>
        </w:rPr>
      </w:pPr>
    </w:p>
    <w:p w14:paraId="4984D0DD" w14:textId="77777777" w:rsidR="00AD4AC8" w:rsidRPr="00786CC9" w:rsidRDefault="00AD4AC8" w:rsidP="00AD4AC8">
      <w:pPr>
        <w:pStyle w:val="Pargrafdellista"/>
        <w:numPr>
          <w:ilvl w:val="0"/>
          <w:numId w:val="4"/>
        </w:numPr>
        <w:spacing w:line="240" w:lineRule="auto"/>
        <w:ind w:left="360"/>
        <w:jc w:val="both"/>
        <w:rPr>
          <w:rFonts w:cs="Arial"/>
        </w:rPr>
      </w:pPr>
      <w:r w:rsidRPr="00786CC9">
        <w:rPr>
          <w:rFonts w:cs="Arial"/>
        </w:rPr>
        <w:t xml:space="preserve">en tercer lloc (en defecte d’aplicació dels dos punts anteriors o si l’empat persisteix): la proposició presentada per aquelles empreses amb un menor percentatge de treballadors temporals, sempre que aquest no sigui superior al 10 per 100, al venciment del termini de presentació d’ofertes. </w:t>
      </w:r>
    </w:p>
    <w:p w14:paraId="074D98E9" w14:textId="77777777" w:rsidR="00AD4AC8" w:rsidRDefault="00AD4AC8" w:rsidP="00AD4AC8">
      <w:pPr>
        <w:numPr>
          <w:ilvl w:val="0"/>
          <w:numId w:val="4"/>
        </w:numPr>
        <w:autoSpaceDE w:val="0"/>
        <w:autoSpaceDN w:val="0"/>
        <w:adjustRightInd w:val="0"/>
        <w:spacing w:after="0" w:line="240" w:lineRule="auto"/>
        <w:ind w:left="360"/>
        <w:jc w:val="both"/>
        <w:rPr>
          <w:rFonts w:cs="Arial"/>
        </w:rPr>
      </w:pPr>
      <w:r w:rsidRPr="00786CC9">
        <w:rPr>
          <w:rFonts w:cs="Arial"/>
        </w:rPr>
        <w:lastRenderedPageBreak/>
        <w:t>en quart lloc (en defecte d’aplicació dels dos punts primers o si l’empat persisteix): La proposició d’entitats reconegudes com a organitzacions de comerç just per a l’adjudicació dels contractes que tinguin com a objecte productes en els quals hi hagi alternativa de comerç just.</w:t>
      </w:r>
    </w:p>
    <w:p w14:paraId="46EFE854" w14:textId="77777777" w:rsidR="00AD4AC8" w:rsidRPr="00786CC9" w:rsidRDefault="00AD4AC8" w:rsidP="00AD4AC8">
      <w:pPr>
        <w:autoSpaceDE w:val="0"/>
        <w:autoSpaceDN w:val="0"/>
        <w:adjustRightInd w:val="0"/>
        <w:spacing w:after="0" w:line="240" w:lineRule="auto"/>
        <w:ind w:left="360"/>
        <w:jc w:val="both"/>
        <w:rPr>
          <w:rFonts w:cs="Arial"/>
        </w:rPr>
      </w:pPr>
    </w:p>
    <w:p w14:paraId="7CB0B581" w14:textId="77777777" w:rsidR="00AD4AC8" w:rsidRPr="00786CC9" w:rsidRDefault="00AD4AC8" w:rsidP="00AD4AC8">
      <w:pPr>
        <w:numPr>
          <w:ilvl w:val="0"/>
          <w:numId w:val="4"/>
        </w:numPr>
        <w:autoSpaceDE w:val="0"/>
        <w:autoSpaceDN w:val="0"/>
        <w:adjustRightInd w:val="0"/>
        <w:spacing w:after="0" w:line="240" w:lineRule="auto"/>
        <w:ind w:left="360"/>
        <w:jc w:val="both"/>
        <w:rPr>
          <w:rFonts w:cs="Arial"/>
        </w:rPr>
      </w:pPr>
      <w:r w:rsidRPr="00786CC9">
        <w:rPr>
          <w:rFonts w:cs="Arial"/>
        </w:rPr>
        <w:t>en cinquè lloc (en defecte de l’aplicació dels punts anteriors o si l’empat persisteix): La proposició presentada per empreses que, al venciment del termini de presentació d’ofertes, disposin d’un Pla d’Igualtat implementat a la seva organització.</w:t>
      </w:r>
    </w:p>
    <w:p w14:paraId="223011A6" w14:textId="77777777" w:rsidR="00AD4AC8" w:rsidRDefault="00AD4AC8" w:rsidP="00AD4AC8">
      <w:pPr>
        <w:autoSpaceDE w:val="0"/>
        <w:autoSpaceDN w:val="0"/>
        <w:adjustRightInd w:val="0"/>
        <w:spacing w:after="0" w:line="240" w:lineRule="auto"/>
        <w:jc w:val="both"/>
        <w:rPr>
          <w:rFonts w:cs="Arial"/>
        </w:rPr>
      </w:pPr>
    </w:p>
    <w:p w14:paraId="2921C37B" w14:textId="77777777" w:rsidR="00AD4AC8" w:rsidRPr="00786CC9" w:rsidRDefault="00AD4AC8" w:rsidP="00AD4AC8">
      <w:pPr>
        <w:autoSpaceDE w:val="0"/>
        <w:autoSpaceDN w:val="0"/>
        <w:adjustRightInd w:val="0"/>
        <w:spacing w:line="240" w:lineRule="auto"/>
        <w:jc w:val="both"/>
        <w:rPr>
          <w:rFonts w:cs="Arial"/>
        </w:rPr>
      </w:pPr>
      <w:r w:rsidRPr="00786CC9">
        <w:rPr>
          <w:rFonts w:cs="Arial"/>
        </w:rPr>
        <w:t>Les empreses licitadores han d’aportar la documentació acreditativa dels criteris de desempat en el moment en què es produeixi l’empat.</w:t>
      </w:r>
    </w:p>
    <w:p w14:paraId="0F5505AD" w14:textId="77777777" w:rsidR="00AD4AC8" w:rsidRPr="00786CC9" w:rsidRDefault="00AD4AC8" w:rsidP="00AD4AC8">
      <w:pPr>
        <w:spacing w:line="240" w:lineRule="auto"/>
        <w:jc w:val="both"/>
        <w:rPr>
          <w:rFonts w:cs="Arial"/>
        </w:rPr>
      </w:pPr>
      <w:r w:rsidRPr="00786CC9">
        <w:rPr>
          <w:rFonts w:cs="Arial"/>
        </w:rPr>
        <w:t xml:space="preserve">En el cas que persisteixi l’empat es farà un sorteig públic mitjançant el qual es dirimirà quina serà la proposició guanyadora. La data del sorteig es publicarà al perfil de contractant i es convocarà mitjançant correu electrònic a les empreses les proposicions de les quals estiguin en empat. </w:t>
      </w:r>
    </w:p>
    <w:p w14:paraId="4BC775F8" w14:textId="77777777" w:rsidR="00AD4AC8" w:rsidRPr="00786CC9" w:rsidRDefault="00AD4AC8" w:rsidP="00AD4AC8">
      <w:pPr>
        <w:spacing w:line="240" w:lineRule="auto"/>
        <w:jc w:val="both"/>
        <w:rPr>
          <w:rFonts w:cs="Arial"/>
          <w:b/>
        </w:rPr>
      </w:pPr>
    </w:p>
    <w:p w14:paraId="3E0586CE" w14:textId="77777777" w:rsidR="00AD4AC8" w:rsidRPr="00AD4AC8" w:rsidRDefault="00AD4AC8" w:rsidP="00AD4AC8">
      <w:pPr>
        <w:rPr>
          <w:b/>
        </w:rPr>
      </w:pPr>
      <w:bookmarkStart w:id="3" w:name="_Toc140737407"/>
      <w:bookmarkStart w:id="4" w:name="_Toc160184508"/>
      <w:r w:rsidRPr="00AD4AC8">
        <w:rPr>
          <w:b/>
        </w:rPr>
        <w:t>Ofertes amb valors anormals o desproporcionats</w:t>
      </w:r>
      <w:bookmarkEnd w:id="3"/>
      <w:bookmarkEnd w:id="4"/>
    </w:p>
    <w:p w14:paraId="75117343" w14:textId="77777777" w:rsidR="00AD4AC8" w:rsidRPr="00786CC9" w:rsidRDefault="00AD4AC8" w:rsidP="00AD4AC8">
      <w:pPr>
        <w:spacing w:line="240" w:lineRule="auto"/>
        <w:jc w:val="both"/>
        <w:rPr>
          <w:rFonts w:cs="Arial"/>
        </w:rPr>
      </w:pPr>
      <w:r w:rsidRPr="00786CC9">
        <w:rPr>
          <w:rFonts w:cs="Arial"/>
        </w:rPr>
        <w:t>La identificació de les ofertes que presentin uns valors anormals o desproporcionats es realitzarà en funció dels límits i els paràmetres objectius establerts en l’apartat 17 del</w:t>
      </w:r>
      <w:r w:rsidRPr="00786CC9">
        <w:rPr>
          <w:rFonts w:cs="Arial"/>
          <w:b/>
        </w:rPr>
        <w:t xml:space="preserve"> quadre de característiques </w:t>
      </w:r>
      <w:r w:rsidRPr="00786CC9">
        <w:rPr>
          <w:rFonts w:cs="Arial"/>
        </w:rPr>
        <w:t>i/o en</w:t>
      </w:r>
      <w:r w:rsidRPr="00786CC9">
        <w:rPr>
          <w:rFonts w:cs="Arial"/>
          <w:b/>
        </w:rPr>
        <w:t xml:space="preserve"> l’annex 6</w:t>
      </w:r>
      <w:r w:rsidRPr="00786CC9">
        <w:rPr>
          <w:rFonts w:cs="Arial"/>
        </w:rPr>
        <w:t>.</w:t>
      </w:r>
    </w:p>
    <w:p w14:paraId="397FB6CB" w14:textId="77777777" w:rsidR="00AD4AC8" w:rsidRPr="00786CC9" w:rsidRDefault="00AD4AC8" w:rsidP="00AD4AC8">
      <w:pPr>
        <w:spacing w:line="240" w:lineRule="auto"/>
        <w:jc w:val="both"/>
        <w:rPr>
          <w:rFonts w:cs="Arial"/>
        </w:rPr>
      </w:pPr>
      <w:r w:rsidRPr="00786CC9">
        <w:rPr>
          <w:rFonts w:cs="Arial"/>
        </w:rPr>
        <w:t>En el supòsit que una o diverses de les ofertes presentades incorrin en presumpció d’anormalitat, la mesa de contractació o l'òrgan de contractació requerirà a l’/les empresa/es licitadora/es que l’/les hagi/n presentat perquè les justifiquin i desglossin raonadament i detalladament el baix nivell dels preus, o de costos, o qualsevol altre paràmetre sobre la base del qual s’hagi definit la anormalitat de l’oferta. Per aquest motiu, la Mesa o l'òrgan de contractació requerirà a l’/les empresa/es licitadora/es, les precisions que consideri oportunes sobre la viabilitat de l’oferta i les pertinents justificacions. L’empresa licitadora disposarà d’un termini màxim de 5 dies hàbils per presentar la informació i els documents que siguin pertinents a aquests efectes.</w:t>
      </w:r>
    </w:p>
    <w:p w14:paraId="7394617C" w14:textId="77777777" w:rsidR="00AD4AC8" w:rsidRPr="00786CC9" w:rsidRDefault="00AD4AC8" w:rsidP="00AD4AC8">
      <w:pPr>
        <w:spacing w:line="240" w:lineRule="auto"/>
        <w:jc w:val="both"/>
        <w:rPr>
          <w:rFonts w:cs="Arial"/>
        </w:rPr>
      </w:pPr>
      <w:r w:rsidRPr="00786CC9">
        <w:rPr>
          <w:rFonts w:cs="Arial"/>
        </w:rPr>
        <w:t>Les sol·licituds de justificació es duran a terme a través de la funcionalitat que a aquest efecte té l’eina de Sobre Digital, mitjançant la qual s’adreçarà un correu electrònic a l’adreça o les adreces assenyalades per les empreses licitadores en el formulari d’inscripció, amb l’enllaç per a què accedeixin a l’espai de l’eina en què han d’aportar la documentació corresponent.</w:t>
      </w:r>
    </w:p>
    <w:p w14:paraId="1E6CC6CA" w14:textId="77777777" w:rsidR="00AD4AC8" w:rsidRPr="00786CC9" w:rsidRDefault="00AD4AC8" w:rsidP="00AD4AC8">
      <w:pPr>
        <w:autoSpaceDE w:val="0"/>
        <w:autoSpaceDN w:val="0"/>
        <w:adjustRightInd w:val="0"/>
        <w:spacing w:line="240" w:lineRule="auto"/>
        <w:jc w:val="both"/>
        <w:rPr>
          <w:rFonts w:cs="Arial"/>
        </w:rPr>
      </w:pPr>
      <w:r w:rsidRPr="00786CC9">
        <w:rPr>
          <w:rFonts w:cs="Arial"/>
        </w:rPr>
        <w:t xml:space="preserve">Aquestes peticions es comunicaran a l’empresa mitjançant comunicació electrònica a través de </w:t>
      </w:r>
      <w:proofErr w:type="spellStart"/>
      <w:r w:rsidRPr="00786CC9">
        <w:rPr>
          <w:rFonts w:cs="Arial"/>
        </w:rPr>
        <w:t>l’e</w:t>
      </w:r>
      <w:proofErr w:type="spellEnd"/>
      <w:r w:rsidRPr="00786CC9">
        <w:rPr>
          <w:rFonts w:cs="Arial"/>
        </w:rPr>
        <w:t>-NOTUM, integrat amb la Plataforma de Serveis de Contractació Pública, d’acord amb la clàusula dotzena d’aquest plec.</w:t>
      </w:r>
    </w:p>
    <w:p w14:paraId="4E12E6DC" w14:textId="77777777" w:rsidR="00AD4AC8" w:rsidRPr="00786CC9" w:rsidRDefault="00AD4AC8" w:rsidP="00AD4AC8">
      <w:pPr>
        <w:spacing w:line="240" w:lineRule="auto"/>
        <w:jc w:val="both"/>
        <w:rPr>
          <w:rFonts w:cs="Arial"/>
        </w:rPr>
      </w:pPr>
      <w:r w:rsidRPr="00786CC9">
        <w:rPr>
          <w:rFonts w:cs="Arial"/>
        </w:rPr>
        <w:t>Si la mesa rep la informació i la documentació justificativa sol·licitada dins de termini, l’avaluarà i elevarà la corresponent proposta d’acceptació o rebuig de la proposició, degudament motivada, a l’òrgan de contractació, per tal que aquest decideixi, previ l’assessorament tècnic del servei corresponent, o bé l’acceptació de l’oferta, perquè considera acreditada la seva viabilitat, o bé, en cas contrari, el seu rebuig.</w:t>
      </w:r>
    </w:p>
    <w:p w14:paraId="462F5798" w14:textId="77777777" w:rsidR="00AD4AC8" w:rsidRPr="00786CC9" w:rsidRDefault="00AD4AC8" w:rsidP="00AD4AC8">
      <w:pPr>
        <w:spacing w:line="240" w:lineRule="auto"/>
        <w:jc w:val="both"/>
        <w:rPr>
          <w:rFonts w:cs="Arial"/>
        </w:rPr>
      </w:pPr>
      <w:r w:rsidRPr="00786CC9">
        <w:rPr>
          <w:rFonts w:cs="Arial"/>
        </w:rPr>
        <w:t>L’òrgan de contractació rebutjarà les ofertes incurses en presumpció d’anormalitat si es basen en hipòtesis o pràctiques inadequades des d’una perspectiva tècnica, econòmica o jurídica. Així mateix, rebutjarà les ofertes si comprova que són anormalment baixes perquè vulneren la normativa sobre subcontractació o no compleixen les obligacions aplicables en matèria mediambiental, social o laboral, nacional o internacional, inclòs l’incompliment dels convenis col·lectius sectorials vigents, en aplicació del que estableix l’article 201 de la LCSP.</w:t>
      </w:r>
    </w:p>
    <w:p w14:paraId="21403B9C" w14:textId="77777777" w:rsidR="00AD4AC8" w:rsidRPr="00786CC9" w:rsidRDefault="00AD4AC8" w:rsidP="00AD4AC8">
      <w:pPr>
        <w:spacing w:line="240" w:lineRule="auto"/>
        <w:jc w:val="both"/>
        <w:rPr>
          <w:rFonts w:cs="Arial"/>
        </w:rPr>
      </w:pPr>
      <w:r w:rsidRPr="00786CC9">
        <w:rPr>
          <w:rFonts w:cs="Arial"/>
        </w:rPr>
        <w:t xml:space="preserve">Quan una empresa que hagués estat incursa en presumpció d’anormalitat resulta finalment adjudicatària del contracte, l’òrgan de contractació realitzarà un seguiment més exhaustiu i </w:t>
      </w:r>
      <w:proofErr w:type="spellStart"/>
      <w:r w:rsidRPr="00786CC9">
        <w:rPr>
          <w:rFonts w:cs="Arial"/>
        </w:rPr>
        <w:t>pormenoritzat</w:t>
      </w:r>
      <w:proofErr w:type="spellEnd"/>
      <w:r w:rsidRPr="00786CC9">
        <w:rPr>
          <w:rFonts w:cs="Arial"/>
        </w:rPr>
        <w:t xml:space="preserve"> en l’execució del contracte, amb l’objectiu de garantir la correcta execució del contracte.</w:t>
      </w:r>
    </w:p>
    <w:sectPr w:rsidR="00AD4AC8" w:rsidRPr="00786CC9" w:rsidSect="00F107E6">
      <w:headerReference w:type="default" r:id="rId7"/>
      <w:footerReference w:type="default" r:id="rId8"/>
      <w:pgSz w:w="11906" w:h="16838"/>
      <w:pgMar w:top="2410" w:right="99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394C8" w14:textId="77777777" w:rsidR="004F3747" w:rsidRDefault="004F3747" w:rsidP="00F454D8">
      <w:pPr>
        <w:spacing w:after="0" w:line="240" w:lineRule="auto"/>
      </w:pPr>
      <w:r>
        <w:separator/>
      </w:r>
    </w:p>
  </w:endnote>
  <w:endnote w:type="continuationSeparator" w:id="0">
    <w:p w14:paraId="2A26CF13" w14:textId="77777777" w:rsidR="004F3747" w:rsidRDefault="004F3747"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Liberation Mono"/>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91B0C" w14:textId="77777777" w:rsidR="004B1D9A" w:rsidRDefault="00D80DB8">
    <w:pPr>
      <w:pStyle w:val="Peu"/>
    </w:pPr>
    <w:r w:rsidRPr="00D80DB8">
      <w:rPr>
        <w:noProof/>
        <w:lang w:bidi="ks-Deva"/>
      </w:rPr>
      <w:drawing>
        <wp:anchor distT="0" distB="0" distL="114300" distR="114300" simplePos="0" relativeHeight="251660288" behindDoc="0" locked="0" layoutInCell="1" allowOverlap="1" wp14:anchorId="51A8601B" wp14:editId="437BBBAF">
          <wp:simplePos x="0" y="0"/>
          <wp:positionH relativeFrom="page">
            <wp:posOffset>5444490</wp:posOffset>
          </wp:positionH>
          <wp:positionV relativeFrom="paragraph">
            <wp:posOffset>-194310</wp:posOffset>
          </wp:positionV>
          <wp:extent cx="1449705" cy="316230"/>
          <wp:effectExtent l="0" t="0" r="0" b="7620"/>
          <wp:wrapNone/>
          <wp:docPr id="16" name="Imat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54C4E" w14:textId="77777777" w:rsidR="004F3747" w:rsidRDefault="004F3747" w:rsidP="00F454D8">
      <w:pPr>
        <w:spacing w:after="0" w:line="240" w:lineRule="auto"/>
      </w:pPr>
      <w:r>
        <w:separator/>
      </w:r>
    </w:p>
  </w:footnote>
  <w:footnote w:type="continuationSeparator" w:id="0">
    <w:p w14:paraId="678A53BA" w14:textId="77777777" w:rsidR="004F3747" w:rsidRDefault="004F3747"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213F3" w14:textId="79D70B3B" w:rsidR="00F454D8" w:rsidRDefault="00F107E6">
    <w:pPr>
      <w:pStyle w:val="Capalera"/>
    </w:pPr>
    <w:r>
      <w:rPr>
        <w:noProof/>
        <w:lang w:bidi="ks-Deva"/>
      </w:rPr>
      <w:drawing>
        <wp:anchor distT="0" distB="0" distL="114300" distR="114300" simplePos="0" relativeHeight="251664384" behindDoc="1" locked="0" layoutInCell="1" allowOverlap="1" wp14:anchorId="1FE84EC7" wp14:editId="49D6DBE2">
          <wp:simplePos x="0" y="0"/>
          <wp:positionH relativeFrom="margin">
            <wp:align>right</wp:align>
          </wp:positionH>
          <wp:positionV relativeFrom="paragraph">
            <wp:posOffset>-68580</wp:posOffset>
          </wp:positionV>
          <wp:extent cx="1257300" cy="930910"/>
          <wp:effectExtent l="0" t="0" r="0" b="2540"/>
          <wp:wrapSquare wrapText="bothSides"/>
          <wp:docPr id="14" name="Imagen 3"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Mosca Assessori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7300" cy="93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B4469E" w14:textId="033DEDC3" w:rsidR="00F454D8" w:rsidRDefault="00F107E6">
    <w:pPr>
      <w:pStyle w:val="Capalera"/>
    </w:pPr>
    <w:r>
      <w:rPr>
        <w:noProof/>
        <w:lang w:bidi="ks-Deva"/>
      </w:rPr>
      <w:drawing>
        <wp:anchor distT="0" distB="0" distL="114300" distR="114300" simplePos="0" relativeHeight="251662336" behindDoc="0" locked="0" layoutInCell="1" allowOverlap="1" wp14:anchorId="464D7312" wp14:editId="24445447">
          <wp:simplePos x="0" y="0"/>
          <wp:positionH relativeFrom="column">
            <wp:posOffset>0</wp:posOffset>
          </wp:positionH>
          <wp:positionV relativeFrom="paragraph">
            <wp:posOffset>-635</wp:posOffset>
          </wp:positionV>
          <wp:extent cx="1418554" cy="365713"/>
          <wp:effectExtent l="0" t="0" r="0" b="0"/>
          <wp:wrapNone/>
          <wp:docPr id="15" name="Imat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S-colo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18554" cy="36571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C13"/>
    <w:multiLevelType w:val="hybridMultilevel"/>
    <w:tmpl w:val="25605FF6"/>
    <w:lvl w:ilvl="0" w:tplc="D1149FF0">
      <w:numFmt w:val="bullet"/>
      <w:lvlText w:val="-"/>
      <w:lvlJc w:val="left"/>
      <w:pPr>
        <w:ind w:left="720" w:hanging="360"/>
      </w:pPr>
      <w:rPr>
        <w:rFonts w:ascii="Arial" w:eastAsiaTheme="minorHAnsi"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154653D5"/>
    <w:multiLevelType w:val="hybridMultilevel"/>
    <w:tmpl w:val="73701C3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8216F"/>
    <w:rsid w:val="000A248F"/>
    <w:rsid w:val="000A42C9"/>
    <w:rsid w:val="001150FE"/>
    <w:rsid w:val="00134E6F"/>
    <w:rsid w:val="0016725E"/>
    <w:rsid w:val="0017011C"/>
    <w:rsid w:val="002258BD"/>
    <w:rsid w:val="00227795"/>
    <w:rsid w:val="00241350"/>
    <w:rsid w:val="00247B10"/>
    <w:rsid w:val="002700D0"/>
    <w:rsid w:val="002A5F5B"/>
    <w:rsid w:val="002C7089"/>
    <w:rsid w:val="002D5E5A"/>
    <w:rsid w:val="00312C38"/>
    <w:rsid w:val="00323455"/>
    <w:rsid w:val="00336F4B"/>
    <w:rsid w:val="00374373"/>
    <w:rsid w:val="0037780A"/>
    <w:rsid w:val="00436473"/>
    <w:rsid w:val="0046181C"/>
    <w:rsid w:val="00475BC3"/>
    <w:rsid w:val="00486076"/>
    <w:rsid w:val="00487A4C"/>
    <w:rsid w:val="004B1D9A"/>
    <w:rsid w:val="004D453B"/>
    <w:rsid w:val="004E3CD5"/>
    <w:rsid w:val="004F0F28"/>
    <w:rsid w:val="004F3747"/>
    <w:rsid w:val="00524140"/>
    <w:rsid w:val="00526168"/>
    <w:rsid w:val="005334C6"/>
    <w:rsid w:val="00547FE9"/>
    <w:rsid w:val="005505E3"/>
    <w:rsid w:val="00586F07"/>
    <w:rsid w:val="0059144C"/>
    <w:rsid w:val="0063417F"/>
    <w:rsid w:val="006348BD"/>
    <w:rsid w:val="00637129"/>
    <w:rsid w:val="0063782E"/>
    <w:rsid w:val="006A1D4F"/>
    <w:rsid w:val="006A7BF9"/>
    <w:rsid w:val="006B4CAB"/>
    <w:rsid w:val="006B5A9D"/>
    <w:rsid w:val="006E2A60"/>
    <w:rsid w:val="006E69AE"/>
    <w:rsid w:val="007234C2"/>
    <w:rsid w:val="00740B6C"/>
    <w:rsid w:val="007A6C74"/>
    <w:rsid w:val="007D4DE8"/>
    <w:rsid w:val="007D7384"/>
    <w:rsid w:val="00815478"/>
    <w:rsid w:val="00836D1E"/>
    <w:rsid w:val="00882B7B"/>
    <w:rsid w:val="008A05E7"/>
    <w:rsid w:val="008D5097"/>
    <w:rsid w:val="008E3AA1"/>
    <w:rsid w:val="00943FF8"/>
    <w:rsid w:val="00955DC4"/>
    <w:rsid w:val="00973C45"/>
    <w:rsid w:val="009B3609"/>
    <w:rsid w:val="00A10877"/>
    <w:rsid w:val="00A10E74"/>
    <w:rsid w:val="00A13AAC"/>
    <w:rsid w:val="00A7317C"/>
    <w:rsid w:val="00AC11C7"/>
    <w:rsid w:val="00AD4AC8"/>
    <w:rsid w:val="00B10075"/>
    <w:rsid w:val="00B602E5"/>
    <w:rsid w:val="00B60C61"/>
    <w:rsid w:val="00B96B43"/>
    <w:rsid w:val="00BB6B50"/>
    <w:rsid w:val="00BD2E15"/>
    <w:rsid w:val="00BE673C"/>
    <w:rsid w:val="00C10920"/>
    <w:rsid w:val="00C4719B"/>
    <w:rsid w:val="00C76C26"/>
    <w:rsid w:val="00CE36A4"/>
    <w:rsid w:val="00CE4EA5"/>
    <w:rsid w:val="00D514F0"/>
    <w:rsid w:val="00D80DB8"/>
    <w:rsid w:val="00D919CE"/>
    <w:rsid w:val="00DA478B"/>
    <w:rsid w:val="00DE75F5"/>
    <w:rsid w:val="00E52C9C"/>
    <w:rsid w:val="00E556F8"/>
    <w:rsid w:val="00E8371D"/>
    <w:rsid w:val="00EA25BA"/>
    <w:rsid w:val="00EC5B8E"/>
    <w:rsid w:val="00F107E6"/>
    <w:rsid w:val="00F270AF"/>
    <w:rsid w:val="00F277E0"/>
    <w:rsid w:val="00F454D8"/>
    <w:rsid w:val="00F85666"/>
    <w:rsid w:val="00F934D3"/>
    <w:rsid w:val="00FB3C4D"/>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3346C1"/>
  <w15:docId w15:val="{2AC68B98-FE19-4DE5-A055-55D689BB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2">
    <w:name w:val="heading 2"/>
    <w:basedOn w:val="Normal"/>
    <w:next w:val="Normal"/>
    <w:link w:val="Ttol2Car"/>
    <w:uiPriority w:val="99"/>
    <w:qFormat/>
    <w:rsid w:val="00AD4AC8"/>
    <w:pPr>
      <w:keepNext/>
      <w:tabs>
        <w:tab w:val="left" w:pos="360"/>
        <w:tab w:val="left" w:pos="720"/>
        <w:tab w:val="left" w:pos="1080"/>
      </w:tabs>
      <w:spacing w:after="0" w:line="240" w:lineRule="auto"/>
      <w:jc w:val="both"/>
      <w:outlineLvl w:val="1"/>
    </w:pPr>
    <w:rPr>
      <w:rFonts w:cs="Arial"/>
      <w:b/>
      <w:bCs/>
      <w:sz w:val="24"/>
      <w:szCs w:val="24"/>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34"/>
    <w:qFormat/>
    <w:rsid w:val="007D7384"/>
    <w:pPr>
      <w:ind w:left="720"/>
      <w:contextualSpacing/>
    </w:pPr>
  </w:style>
  <w:style w:type="character" w:customStyle="1" w:styleId="Ttol2Car">
    <w:name w:val="Títol 2 Car"/>
    <w:basedOn w:val="Tipusdelletraperdefectedelpargraf"/>
    <w:link w:val="Ttol2"/>
    <w:uiPriority w:val="99"/>
    <w:rsid w:val="00AD4AC8"/>
    <w:rPr>
      <w:rFonts w:ascii="Arial" w:eastAsia="Times New Roman" w:hAnsi="Arial" w:cs="Arial"/>
      <w:b/>
      <w:bCs/>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923</Words>
  <Characters>5262</Characters>
  <Application>Microsoft Office Word</Application>
  <DocSecurity>0</DocSecurity>
  <Lines>43</Lines>
  <Paragraphs>12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CTTI</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Raquel Fornas Pizarro</cp:lastModifiedBy>
  <cp:revision>13</cp:revision>
  <cp:lastPrinted>2024-04-17T08:20:00Z</cp:lastPrinted>
  <dcterms:created xsi:type="dcterms:W3CDTF">2024-04-04T09:51:00Z</dcterms:created>
  <dcterms:modified xsi:type="dcterms:W3CDTF">2025-08-29T07:39:00Z</dcterms:modified>
</cp:coreProperties>
</file>